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E585" w14:textId="2D2418E4" w:rsidR="006D68CD" w:rsidRDefault="00000000">
      <w:pPr>
        <w:pStyle w:val="Heading1"/>
        <w:keepNext w:val="0"/>
        <w:keepLines w:val="0"/>
        <w:spacing w:before="480"/>
        <w:jc w:val="center"/>
        <w:rPr>
          <w:color w:val="292B2C"/>
        </w:rPr>
      </w:pPr>
      <w:bookmarkStart w:id="0" w:name="_ahrzb5b7ufm3" w:colFirst="0" w:colLast="0"/>
      <w:bookmarkEnd w:id="0"/>
      <w:r>
        <w:rPr>
          <w:b/>
          <w:color w:val="292B2C"/>
          <w:sz w:val="46"/>
          <w:szCs w:val="46"/>
        </w:rPr>
        <w:t xml:space="preserve">Community Technology Advisory Board Year In Review – 2022 </w:t>
      </w:r>
    </w:p>
    <w:p w14:paraId="2DD4CB4D" w14:textId="77777777" w:rsidR="006D68CD" w:rsidRDefault="00000000">
      <w:pPr>
        <w:spacing w:before="240" w:after="240"/>
        <w:rPr>
          <w:color w:val="292B2C"/>
        </w:rPr>
      </w:pPr>
      <w:r>
        <w:rPr>
          <w:color w:val="292B2C"/>
        </w:rPr>
        <w:t xml:space="preserve">Thank you to CTAB members René Peters, Camille Malonzo, Leah Shin, Nicole Espy, Femi Adebayo, Brandon Lindsey, Lassana Magassa, Annie Shaw, and Tyrone Grandison and to </w:t>
      </w:r>
      <w:proofErr w:type="gramStart"/>
      <w:r>
        <w:rPr>
          <w:color w:val="292B2C"/>
        </w:rPr>
        <w:t>all of</w:t>
      </w:r>
      <w:proofErr w:type="gramEnd"/>
      <w:r>
        <w:rPr>
          <w:color w:val="292B2C"/>
        </w:rPr>
        <w:t xml:space="preserve"> our subcommittee leaders and volunteers for their time and efforts invested with CTAB in 2021. Huge thanks to Vinh Tang, Cass Magnuski, Meira Jough, and Delia Burke for facilitating CTAB’s priorities and meetings. Finally, a thank you to our engaged community members who have attended CTAB meetings this year. Below is a summary of our events, priorities, and accomplishments as a board in 2022.</w:t>
      </w:r>
    </w:p>
    <w:p w14:paraId="57881459" w14:textId="77777777" w:rsidR="006D68CD" w:rsidRDefault="00000000">
      <w:pPr>
        <w:spacing w:before="240" w:after="240"/>
        <w:rPr>
          <w:color w:val="292B2C"/>
        </w:rPr>
      </w:pPr>
      <w:r>
        <w:rPr>
          <w:color w:val="292B2C"/>
        </w:rPr>
        <w:t>Hopefully you will see we have met the goals and more from our initial letter to the Mayor and City Council sent at the beginning of the year.</w:t>
      </w:r>
    </w:p>
    <w:p w14:paraId="1A819032" w14:textId="77777777" w:rsidR="006D68CD" w:rsidRDefault="00000000">
      <w:pPr>
        <w:numPr>
          <w:ilvl w:val="0"/>
          <w:numId w:val="2"/>
        </w:numPr>
        <w:spacing w:before="240"/>
        <w:rPr>
          <w:color w:val="292B2C"/>
        </w:rPr>
      </w:pPr>
      <w:r>
        <w:rPr>
          <w:color w:val="292B2C"/>
        </w:rPr>
        <w:t>City of Seattle was recognized as Digital Inclusion Trailblazers by the National Digital Inclusion Alliance. Was the only city in the country to be awarded on all 6 qualifying criteria marking Seattle a leader amongst leaders in municipal digital inclusion programming.</w:t>
      </w:r>
    </w:p>
    <w:p w14:paraId="77859D49" w14:textId="77777777" w:rsidR="006D68CD" w:rsidRDefault="00000000">
      <w:pPr>
        <w:numPr>
          <w:ilvl w:val="0"/>
          <w:numId w:val="2"/>
        </w:numPr>
        <w:rPr>
          <w:color w:val="292B2C"/>
        </w:rPr>
      </w:pPr>
      <w:r>
        <w:rPr>
          <w:color w:val="292B2C"/>
        </w:rPr>
        <w:t>Reviewed and provided recommendations for the 2022 Digital Equity Grants, including grants for the Digital Navigator Cohort Program and the Technology Matching Fund (TMF), all in amounting to $590,000 in awards</w:t>
      </w:r>
    </w:p>
    <w:p w14:paraId="5BEFF287" w14:textId="77777777" w:rsidR="006D68CD" w:rsidRDefault="00000000">
      <w:pPr>
        <w:numPr>
          <w:ilvl w:val="1"/>
          <w:numId w:val="2"/>
        </w:numPr>
        <w:rPr>
          <w:color w:val="292B2C"/>
        </w:rPr>
      </w:pPr>
      <w:r>
        <w:rPr>
          <w:color w:val="292B2C"/>
        </w:rPr>
        <w:t>53 individual proposals were reviewed, requesting over $1.6 million in funding.</w:t>
      </w:r>
    </w:p>
    <w:p w14:paraId="1F380C5F" w14:textId="77777777" w:rsidR="006D68CD" w:rsidRDefault="00000000">
      <w:pPr>
        <w:numPr>
          <w:ilvl w:val="0"/>
          <w:numId w:val="2"/>
        </w:numPr>
        <w:rPr>
          <w:color w:val="292B2C"/>
        </w:rPr>
      </w:pPr>
      <w:r>
        <w:rPr>
          <w:color w:val="292B2C"/>
        </w:rPr>
        <w:t>Nineteen community organizations throughout the city were awarded $340,000 of city funds to address projects expected to reach over 5,000 city residents in all Council districts and in areas especially impacted by digital equity gaps. These projects emply creative solutions for accessing technology devices, internet connectivity and digital literacy training.</w:t>
      </w:r>
    </w:p>
    <w:p w14:paraId="443F5E7F" w14:textId="77777777" w:rsidR="006D68CD" w:rsidRDefault="00000000">
      <w:pPr>
        <w:numPr>
          <w:ilvl w:val="1"/>
          <w:numId w:val="2"/>
        </w:numPr>
        <w:rPr>
          <w:color w:val="292B2C"/>
        </w:rPr>
      </w:pPr>
      <w:r>
        <w:rPr>
          <w:color w:val="292B2C"/>
        </w:rPr>
        <w:t>Funded organizations: Dress for Success Seattle, Elizabeth Home, Ethnic Cultural Heritage Exchange, Helping Link/ Một Dấu Nối, Jewish Family Service of Seattle, Khmer Community of Seattle King County, Mini Mart City Park, Path with Art, PROVAIL, Renaissance 21, Seattle Jobs Initiative, SIFF, YWCA Seattle King Snohomish, The Prison Scholar Fund</w:t>
      </w:r>
    </w:p>
    <w:p w14:paraId="4E18FAA3" w14:textId="77777777" w:rsidR="006D68CD" w:rsidRDefault="00000000">
      <w:pPr>
        <w:numPr>
          <w:ilvl w:val="0"/>
          <w:numId w:val="2"/>
        </w:numPr>
        <w:spacing w:after="240"/>
        <w:rPr>
          <w:color w:val="292B2C"/>
        </w:rPr>
      </w:pPr>
      <w:r>
        <w:rPr>
          <w:color w:val="292B2C"/>
        </w:rPr>
        <w:t>TMF Review Panel: 15 members, each reviewing 15 applications. Reviewers: Camille Malonzo, Dorene Cornwell, Femi Adebayo, Harte Daniels, Jordan Wolff, Kai Neander, Kristen Hoffman, Liz Gruchala-Gilbert, Phillip Meng, Rene Peters</w:t>
      </w:r>
    </w:p>
    <w:p w14:paraId="2F542A83" w14:textId="77777777" w:rsidR="006D68CD" w:rsidRDefault="00000000">
      <w:pPr>
        <w:spacing w:before="240" w:after="240"/>
        <w:rPr>
          <w:color w:val="292B2C"/>
        </w:rPr>
      </w:pPr>
      <w:r>
        <w:rPr>
          <w:color w:val="292B2C"/>
        </w:rPr>
        <w:t xml:space="preserve">Throughout the year, CTAB hosted speakers throughout the technology ecosystem, with a particular focus on inviting community members to speak to their lived experiences with navigating technologies. We also invited subject matter experts to share technology best practices across the </w:t>
      </w:r>
      <w:proofErr w:type="gramStart"/>
      <w:r>
        <w:rPr>
          <w:color w:val="292B2C"/>
        </w:rPr>
        <w:t>City</w:t>
      </w:r>
      <w:proofErr w:type="gramEnd"/>
      <w:r>
        <w:rPr>
          <w:color w:val="292B2C"/>
        </w:rPr>
        <w:t>:</w:t>
      </w:r>
    </w:p>
    <w:p w14:paraId="4AEFC1A0" w14:textId="77777777" w:rsidR="006D68CD" w:rsidRDefault="00000000">
      <w:pPr>
        <w:numPr>
          <w:ilvl w:val="0"/>
          <w:numId w:val="1"/>
        </w:numPr>
        <w:rPr>
          <w:color w:val="292B2C"/>
        </w:rPr>
      </w:pPr>
      <w:r>
        <w:rPr>
          <w:color w:val="292B2C"/>
        </w:rPr>
        <w:lastRenderedPageBreak/>
        <w:t>Digital Equity in Telecommunications Forum – Dr. Angela Hemingway (T-Mobile), Dr. Kiesha King (T-Mobile), Derek Casebolt (T-Mobile), Bob Bass (AT&amp;T), Azmeena Hasham (Verizon), Coleman Entringer (CTAB Digital Equity Subcommittee)</w:t>
      </w:r>
    </w:p>
    <w:p w14:paraId="6AE3EF63" w14:textId="77777777" w:rsidR="006D68CD" w:rsidRDefault="00000000">
      <w:pPr>
        <w:numPr>
          <w:ilvl w:val="1"/>
          <w:numId w:val="1"/>
        </w:numPr>
        <w:rPr>
          <w:color w:val="292B2C"/>
        </w:rPr>
      </w:pPr>
      <w:r>
        <w:rPr>
          <w:color w:val="292B2C"/>
        </w:rPr>
        <w:t xml:space="preserve">The Digital Equity additionally produced a </w:t>
      </w:r>
    </w:p>
    <w:p w14:paraId="4563A81E" w14:textId="77777777" w:rsidR="006D68CD" w:rsidRDefault="00000000">
      <w:pPr>
        <w:numPr>
          <w:ilvl w:val="0"/>
          <w:numId w:val="1"/>
        </w:numPr>
        <w:rPr>
          <w:color w:val="292B2C"/>
        </w:rPr>
      </w:pPr>
      <w:r>
        <w:rPr>
          <w:color w:val="292B2C"/>
        </w:rPr>
        <w:t xml:space="preserve">State &amp; Federal Digital Equity Legislation Update – David Keyes (Seattle IT, </w:t>
      </w:r>
      <w:r>
        <w:t>Digital Equity Manager</w:t>
      </w:r>
      <w:r>
        <w:rPr>
          <w:color w:val="292B2C"/>
        </w:rPr>
        <w:t>)</w:t>
      </w:r>
    </w:p>
    <w:p w14:paraId="1B356A2E" w14:textId="77777777" w:rsidR="006D68CD" w:rsidRDefault="00000000">
      <w:pPr>
        <w:numPr>
          <w:ilvl w:val="0"/>
          <w:numId w:val="1"/>
        </w:numPr>
        <w:rPr>
          <w:color w:val="292B2C"/>
        </w:rPr>
      </w:pPr>
      <w:r>
        <w:rPr>
          <w:color w:val="292B2C"/>
        </w:rPr>
        <w:t>Seattle IT Chief Technology Officer Update – Jim Loter (Seattle IT, CTO)</w:t>
      </w:r>
    </w:p>
    <w:p w14:paraId="6B373409" w14:textId="77777777" w:rsidR="006D68CD" w:rsidRDefault="00000000">
      <w:pPr>
        <w:numPr>
          <w:ilvl w:val="0"/>
          <w:numId w:val="1"/>
        </w:numPr>
        <w:rPr>
          <w:color w:val="292B2C"/>
        </w:rPr>
      </w:pPr>
      <w:r>
        <w:rPr>
          <w:color w:val="292B2C"/>
        </w:rPr>
        <w:t>Technology Access &amp; Adoption Survey – Brandon Lindsey &amp; Lassana Magassa (CTAB), Chelsea Benning (Pacific Market Research), Chris Webb and Shaun Glaze (Inclusive Data)</w:t>
      </w:r>
    </w:p>
    <w:p w14:paraId="3FD4287E" w14:textId="77777777" w:rsidR="006D68CD" w:rsidRDefault="00000000">
      <w:pPr>
        <w:numPr>
          <w:ilvl w:val="0"/>
          <w:numId w:val="1"/>
        </w:numPr>
        <w:rPr>
          <w:color w:val="292B2C"/>
        </w:rPr>
      </w:pPr>
      <w:r>
        <w:rPr>
          <w:color w:val="292B2C"/>
        </w:rPr>
        <w:t>Becoming digitally literate: Pathways to supporting formerly incarcerated people – Lassana Magassa (CTAB) and Douglas French</w:t>
      </w:r>
    </w:p>
    <w:p w14:paraId="492240EA" w14:textId="77777777" w:rsidR="006D68CD" w:rsidRDefault="00000000">
      <w:pPr>
        <w:numPr>
          <w:ilvl w:val="0"/>
          <w:numId w:val="1"/>
        </w:numPr>
        <w:rPr>
          <w:color w:val="292B2C"/>
        </w:rPr>
      </w:pPr>
      <w:r>
        <w:rPr>
          <w:color w:val="292B2C"/>
        </w:rPr>
        <w:t>Seattle Internet for All and Older Adult COVID Social Connectivity Initiative – Delia Burke (Seattle IT, Digital Equity Advisor) and Jon Morrison Winters (Seattle IT)</w:t>
      </w:r>
    </w:p>
    <w:p w14:paraId="4221345D" w14:textId="77777777" w:rsidR="006D68CD" w:rsidRDefault="00000000">
      <w:pPr>
        <w:numPr>
          <w:ilvl w:val="0"/>
          <w:numId w:val="1"/>
        </w:numPr>
        <w:rPr>
          <w:color w:val="292B2C"/>
        </w:rPr>
      </w:pPr>
      <w:r>
        <w:rPr>
          <w:color w:val="292B2C"/>
        </w:rPr>
        <w:t>Digital Equity Learning Network (DELN) of Seattle &amp; King County -- Cat Howell (Literacy Source, Co-Director)</w:t>
      </w:r>
    </w:p>
    <w:p w14:paraId="0EE2A815" w14:textId="77777777" w:rsidR="006D68CD" w:rsidRDefault="00000000">
      <w:pPr>
        <w:numPr>
          <w:ilvl w:val="0"/>
          <w:numId w:val="1"/>
        </w:numPr>
        <w:rPr>
          <w:color w:val="292B2C"/>
        </w:rPr>
      </w:pPr>
      <w:r>
        <w:rPr>
          <w:color w:val="292B2C"/>
        </w:rPr>
        <w:t>Seattle IT Privacy Office Update (surveillance ordinance, data ethics, facial recognition) – Sarah Carrier (Seattle IT, Privacy Program Manager) and Omari Stringer (Seattle IT, Data Accountability Strategist)</w:t>
      </w:r>
    </w:p>
    <w:p w14:paraId="2856EE5E" w14:textId="77777777" w:rsidR="006D68CD" w:rsidRDefault="00000000">
      <w:pPr>
        <w:numPr>
          <w:ilvl w:val="0"/>
          <w:numId w:val="1"/>
        </w:numPr>
        <w:rPr>
          <w:color w:val="292B2C"/>
        </w:rPr>
      </w:pPr>
      <w:r>
        <w:rPr>
          <w:color w:val="292B2C"/>
        </w:rPr>
        <w:t>Data Governance 101 – Mark Schmidt (Seattle IT, Data Governance Program Manager)</w:t>
      </w:r>
    </w:p>
    <w:p w14:paraId="2A036397" w14:textId="77777777" w:rsidR="006D68CD" w:rsidRDefault="00000000">
      <w:pPr>
        <w:numPr>
          <w:ilvl w:val="0"/>
          <w:numId w:val="1"/>
        </w:numPr>
        <w:rPr>
          <w:color w:val="292B2C"/>
        </w:rPr>
      </w:pPr>
      <w:r>
        <w:rPr>
          <w:color w:val="292B2C"/>
        </w:rPr>
        <w:t>Internet for All Seattle Website/Dashboard Presentation – Delia Burke (Seattle IT, Digital Equity Advisor)</w:t>
      </w:r>
    </w:p>
    <w:p w14:paraId="5F1070B8" w14:textId="77777777" w:rsidR="006D68CD" w:rsidRDefault="00000000">
      <w:pPr>
        <w:numPr>
          <w:ilvl w:val="0"/>
          <w:numId w:val="1"/>
        </w:numPr>
        <w:rPr>
          <w:color w:val="292B2C"/>
        </w:rPr>
      </w:pPr>
      <w:r>
        <w:rPr>
          <w:color w:val="292B2C"/>
        </w:rPr>
        <w:t>T3: Tribal Technology Training – Will Booth (T3: Tribal Technology Training)</w:t>
      </w:r>
    </w:p>
    <w:p w14:paraId="14C12D05" w14:textId="77777777" w:rsidR="006D68CD" w:rsidRDefault="00000000">
      <w:pPr>
        <w:numPr>
          <w:ilvl w:val="0"/>
          <w:numId w:val="1"/>
        </w:numPr>
        <w:rPr>
          <w:color w:val="292B2C"/>
        </w:rPr>
      </w:pPr>
      <w:r>
        <w:rPr>
          <w:color w:val="292B2C"/>
        </w:rPr>
        <w:t>October is Cybersecurity Awareness Month: City Cybersecurity 101 – Dylan Morris (Seattle IT, Cybersecurity Risk Program Manager)</w:t>
      </w:r>
    </w:p>
    <w:p w14:paraId="51E8DB0D" w14:textId="77777777" w:rsidR="006D68CD" w:rsidRDefault="00000000">
      <w:pPr>
        <w:numPr>
          <w:ilvl w:val="0"/>
          <w:numId w:val="1"/>
        </w:numPr>
        <w:rPr>
          <w:color w:val="292B2C"/>
        </w:rPr>
      </w:pPr>
      <w:r>
        <w:rPr>
          <w:color w:val="292B2C"/>
        </w:rPr>
        <w:t>City of Seattle Civiform Affordable Seattle Presentation – Elise Kalstad (Seattle, Office of Innovation &amp; Performance)</w:t>
      </w:r>
    </w:p>
    <w:p w14:paraId="6D287170" w14:textId="77777777" w:rsidR="006D68CD" w:rsidRDefault="00000000">
      <w:pPr>
        <w:numPr>
          <w:ilvl w:val="0"/>
          <w:numId w:val="1"/>
        </w:numPr>
        <w:rPr>
          <w:color w:val="292B2C"/>
        </w:rPr>
      </w:pPr>
      <w:r>
        <w:rPr>
          <w:color w:val="292B2C"/>
        </w:rPr>
        <w:t>A Conversation with Councilmember Sara Nelson – CM Sara Nelson</w:t>
      </w:r>
    </w:p>
    <w:p w14:paraId="4394CF39" w14:textId="77777777" w:rsidR="006D68CD" w:rsidRDefault="00000000">
      <w:pPr>
        <w:spacing w:before="240" w:after="240"/>
        <w:rPr>
          <w:color w:val="292B2C"/>
        </w:rPr>
      </w:pPr>
      <w:r>
        <w:rPr>
          <w:color w:val="292B2C"/>
        </w:rPr>
        <w:t>Through its three committees, CTAB aligned its efforts with the City’s Digital Equity Plan, and previously established Mayoral and City Council areas of shared interest, to focus on the following three areas:</w:t>
      </w:r>
    </w:p>
    <w:p w14:paraId="3EDE8929" w14:textId="77777777" w:rsidR="006D68CD" w:rsidRDefault="00000000">
      <w:pPr>
        <w:rPr>
          <w:color w:val="CCCCCC"/>
        </w:rPr>
      </w:pPr>
      <w:r>
        <w:rPr>
          <w:color w:val="292B2C"/>
        </w:rPr>
        <w:t xml:space="preserve">1.    </w:t>
      </w:r>
      <w:r w:rsidRPr="00FE44F4">
        <w:t xml:space="preserve">   </w:t>
      </w:r>
      <w:r w:rsidRPr="00FE44F4">
        <w:rPr>
          <w:b/>
        </w:rPr>
        <w:t>Privacy &amp; Cybersecurity</w:t>
      </w:r>
      <w:r w:rsidRPr="00FE44F4">
        <w:t xml:space="preserve"> — In a year marked with increasing security and privacy challenges, it is especially important that CTAB supports digital equity by helping the community understand privacy and security within technology use. In 2021, the committee finalized and distributed a memo regarding the Internet for All effort, which expressed concerns and suggested additions/changes to the city documentation. The committee also delivered a memo for the Surveillance Ordinance Group 4a technologies (Callyo for SPD, Audio Recording City Systems for SPD, I2 (IBM product for SPD), and Maltego for SPD). The committee also invited subject matter experts in security and privacy from the University of Washington and the City to speak on these important topics.  (For more details, see standalone Privacy &amp; Cybersecurity summary appendix sent with this report.)</w:t>
      </w:r>
    </w:p>
    <w:p w14:paraId="7A40C05C" w14:textId="77777777" w:rsidR="006D68CD" w:rsidRDefault="00000000">
      <w:pPr>
        <w:rPr>
          <w:color w:val="292B2C"/>
        </w:rPr>
      </w:pPr>
      <w:r>
        <w:rPr>
          <w:color w:val="292B2C"/>
        </w:rPr>
        <w:t xml:space="preserve"> </w:t>
      </w:r>
    </w:p>
    <w:p w14:paraId="21207ACA" w14:textId="77777777" w:rsidR="006D68CD" w:rsidRDefault="00000000">
      <w:pPr>
        <w:rPr>
          <w:color w:val="CCCCCC"/>
          <w:highlight w:val="red"/>
        </w:rPr>
      </w:pPr>
      <w:r>
        <w:rPr>
          <w:color w:val="292B2C"/>
        </w:rPr>
        <w:lastRenderedPageBreak/>
        <w:t xml:space="preserve">2.     </w:t>
      </w:r>
      <w:r w:rsidRPr="00FE44F4">
        <w:t xml:space="preserve">  </w:t>
      </w:r>
      <w:r w:rsidRPr="00FE44F4">
        <w:rPr>
          <w:b/>
        </w:rPr>
        <w:t>Digital Equity</w:t>
      </w:r>
      <w:r w:rsidRPr="00FE44F4">
        <w:t xml:space="preserve"> — </w:t>
      </w:r>
      <w:r w:rsidRPr="00FE44F4">
        <w:rPr>
          <w:highlight w:val="white"/>
        </w:rPr>
        <w:t xml:space="preserve">DEI maintains the core of CTAB's 24-year vision of ensuring all Seattle residents have access to broadband, devices and technology, and the digital literacy to use those tools for civic and cultural participation, employment, lifelong learning, and access to essential services. The COVID-19 pandemic made inequities inflicted upon underserved populations more visible to the </w:t>
      </w:r>
      <w:proofErr w:type="gramStart"/>
      <w:r w:rsidRPr="00FE44F4">
        <w:rPr>
          <w:highlight w:val="white"/>
        </w:rPr>
        <w:t>general public</w:t>
      </w:r>
      <w:proofErr w:type="gramEnd"/>
      <w:r w:rsidRPr="00FE44F4">
        <w:rPr>
          <w:highlight w:val="white"/>
        </w:rPr>
        <w:t xml:space="preserve"> and supplied an urgency to DEI's work. In 202</w:t>
      </w:r>
      <w:r w:rsidRPr="00FE44F4">
        <w:t>1, DEI put effort into expanding the committee and finishing the work around telehealth equity. (For more details, see standalone DEI summary appendix sent with this report.)</w:t>
      </w:r>
    </w:p>
    <w:p w14:paraId="76136A7A" w14:textId="77777777" w:rsidR="006D68CD" w:rsidRDefault="006D68CD">
      <w:pPr>
        <w:rPr>
          <w:color w:val="292B2C"/>
        </w:rPr>
      </w:pPr>
    </w:p>
    <w:p w14:paraId="61E8B504" w14:textId="77777777" w:rsidR="006D68CD" w:rsidRDefault="00000000">
      <w:pPr>
        <w:rPr>
          <w:color w:val="292B2C"/>
        </w:rPr>
      </w:pPr>
      <w:r>
        <w:rPr>
          <w:color w:val="292B2C"/>
        </w:rPr>
        <w:t xml:space="preserve">3.       </w:t>
      </w:r>
      <w:proofErr w:type="gramStart"/>
      <w:r>
        <w:rPr>
          <w:b/>
          <w:color w:val="292B2C"/>
        </w:rPr>
        <w:t xml:space="preserve">Outreach </w:t>
      </w:r>
      <w:r>
        <w:rPr>
          <w:color w:val="292B2C"/>
        </w:rPr>
        <w:t xml:space="preserve"> —</w:t>
      </w:r>
      <w:proofErr w:type="gramEnd"/>
      <w:r>
        <w:rPr>
          <w:color w:val="292B2C"/>
        </w:rPr>
        <w:t xml:space="preserve"> </w:t>
      </w:r>
    </w:p>
    <w:p w14:paraId="37754D78" w14:textId="77777777" w:rsidR="006D68CD" w:rsidRDefault="00000000">
      <w:pPr>
        <w:spacing w:before="240"/>
        <w:rPr>
          <w:color w:val="292B2C"/>
        </w:rPr>
      </w:pPr>
      <w:r>
        <w:rPr>
          <w:color w:val="292B2C"/>
        </w:rPr>
        <w:t>In closing, we hope this provides you a general overview of where CTAB has spent its energy in 2022, where it plans to continue momentum in 2023, and displays clear alignment with the City’s Digital Equity Plan.</w:t>
      </w:r>
    </w:p>
    <w:p w14:paraId="2A29C777" w14:textId="77777777" w:rsidR="006D68CD" w:rsidRDefault="00000000">
      <w:pPr>
        <w:spacing w:before="240"/>
        <w:rPr>
          <w:color w:val="292B2C"/>
        </w:rPr>
      </w:pPr>
      <w:r>
        <w:rPr>
          <w:color w:val="292B2C"/>
        </w:rPr>
        <w:t>We kindly request a meeting with you and your staff at your earliest convenience to garner your input and discuss further details regarding partnership and strategy, specifically around areas you might find helpful as well as digital skills training, affordable connectivity, and access to technology devices for underserved communities. We look forward to your collaboration.</w:t>
      </w:r>
    </w:p>
    <w:p w14:paraId="1FD5F607" w14:textId="77777777" w:rsidR="006D68CD" w:rsidRDefault="00000000">
      <w:pPr>
        <w:spacing w:before="240"/>
        <w:rPr>
          <w:color w:val="292B2C"/>
        </w:rPr>
      </w:pPr>
      <w:r>
        <w:rPr>
          <w:color w:val="292B2C"/>
        </w:rPr>
        <w:t>Sincerely,</w:t>
      </w:r>
    </w:p>
    <w:p w14:paraId="6E4C1D31" w14:textId="77777777" w:rsidR="006D68CD" w:rsidRDefault="00000000">
      <w:pPr>
        <w:spacing w:before="240"/>
        <w:rPr>
          <w:b/>
          <w:color w:val="292B2C"/>
        </w:rPr>
      </w:pPr>
      <w:r>
        <w:rPr>
          <w:b/>
          <w:color w:val="292B2C"/>
        </w:rPr>
        <w:t>CTAB Members</w:t>
      </w:r>
    </w:p>
    <w:p w14:paraId="7908D8E8" w14:textId="77777777" w:rsidR="006D68CD" w:rsidRDefault="006D68CD">
      <w:pPr>
        <w:spacing w:before="240"/>
        <w:rPr>
          <w:b/>
          <w:color w:val="292B2C"/>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D68CD" w14:paraId="2D0CDC7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63764313" w14:textId="77777777" w:rsidR="006D68CD" w:rsidRDefault="00000000">
            <w:pPr>
              <w:widowControl w:val="0"/>
              <w:spacing w:line="240" w:lineRule="auto"/>
              <w:rPr>
                <w:color w:val="292B2C"/>
              </w:rPr>
            </w:pPr>
            <w:r>
              <w:rPr>
                <w:b/>
                <w:color w:val="292B2C"/>
              </w:rPr>
              <w:t xml:space="preserve">Camille Malonzo, </w:t>
            </w:r>
            <w:r>
              <w:rPr>
                <w:color w:val="292B2C"/>
              </w:rPr>
              <w:t>CTAB Chair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4AF8276A" w14:textId="77777777" w:rsidR="006D68CD" w:rsidRDefault="00000000">
            <w:pPr>
              <w:widowControl w:val="0"/>
              <w:spacing w:line="240" w:lineRule="auto"/>
              <w:rPr>
                <w:color w:val="292B2C"/>
              </w:rPr>
            </w:pPr>
            <w:r>
              <w:rPr>
                <w:b/>
                <w:color w:val="292B2C"/>
              </w:rPr>
              <w:t xml:space="preserve">Femi Adebayo, </w:t>
            </w:r>
            <w:r>
              <w:rPr>
                <w:color w:val="292B2C"/>
              </w:rPr>
              <w:t>CTAB Vice Chair</w:t>
            </w:r>
          </w:p>
        </w:tc>
      </w:tr>
      <w:tr w:rsidR="006D68CD" w14:paraId="484CDAF0"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617345C1" w14:textId="77777777" w:rsidR="006D68CD" w:rsidRDefault="00000000">
            <w:pPr>
              <w:widowControl w:val="0"/>
              <w:spacing w:line="240" w:lineRule="auto"/>
              <w:rPr>
                <w:color w:val="292B2C"/>
              </w:rPr>
            </w:pPr>
            <w:r>
              <w:rPr>
                <w:b/>
                <w:color w:val="292B2C"/>
              </w:rPr>
              <w:t xml:space="preserve">René Peters, </w:t>
            </w:r>
            <w:r>
              <w:rPr>
                <w:color w:val="292B2C"/>
              </w:rPr>
              <w:t>Member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1E47EC9C" w14:textId="77777777" w:rsidR="006D68CD" w:rsidRDefault="00000000">
            <w:pPr>
              <w:widowControl w:val="0"/>
              <w:spacing w:line="240" w:lineRule="auto"/>
              <w:rPr>
                <w:color w:val="292B2C"/>
              </w:rPr>
            </w:pPr>
            <w:r>
              <w:rPr>
                <w:b/>
                <w:color w:val="292B2C"/>
              </w:rPr>
              <w:t xml:space="preserve">Nicole Espy, </w:t>
            </w:r>
            <w:r>
              <w:rPr>
                <w:color w:val="292B2C"/>
              </w:rPr>
              <w:t>Member</w:t>
            </w:r>
          </w:p>
        </w:tc>
      </w:tr>
      <w:tr w:rsidR="006D68CD" w14:paraId="748A198A"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477800DA" w14:textId="77777777" w:rsidR="006D68CD" w:rsidRDefault="00000000">
            <w:pPr>
              <w:widowControl w:val="0"/>
              <w:spacing w:line="240" w:lineRule="auto"/>
              <w:rPr>
                <w:color w:val="292B2C"/>
              </w:rPr>
            </w:pPr>
            <w:r>
              <w:rPr>
                <w:b/>
                <w:color w:val="292B2C"/>
              </w:rPr>
              <w:t xml:space="preserve">Dr. Tyrone Grandison, </w:t>
            </w:r>
            <w:r>
              <w:rPr>
                <w:color w:val="292B2C"/>
              </w:rPr>
              <w:t>Member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61C598F7" w14:textId="77777777" w:rsidR="006D68CD" w:rsidRDefault="00000000">
            <w:pPr>
              <w:widowControl w:val="0"/>
              <w:spacing w:line="240" w:lineRule="auto"/>
              <w:rPr>
                <w:color w:val="292B2C"/>
              </w:rPr>
            </w:pPr>
            <w:r>
              <w:rPr>
                <w:b/>
                <w:color w:val="292B2C"/>
              </w:rPr>
              <w:t>Annie Shaw</w:t>
            </w:r>
            <w:r>
              <w:rPr>
                <w:color w:val="292B2C"/>
              </w:rPr>
              <w:t>, Get Engaged Member</w:t>
            </w:r>
          </w:p>
        </w:tc>
      </w:tr>
      <w:tr w:rsidR="006D68CD" w14:paraId="4BDF3225"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7102ACDB" w14:textId="77777777" w:rsidR="006D68CD" w:rsidRDefault="00000000">
            <w:pPr>
              <w:widowControl w:val="0"/>
              <w:spacing w:line="240" w:lineRule="auto"/>
              <w:rPr>
                <w:color w:val="292B2C"/>
              </w:rPr>
            </w:pPr>
            <w:r>
              <w:rPr>
                <w:b/>
                <w:color w:val="292B2C"/>
              </w:rPr>
              <w:t xml:space="preserve">Lassana Magassa, </w:t>
            </w:r>
            <w:r>
              <w:rPr>
                <w:color w:val="292B2C"/>
              </w:rPr>
              <w:t>Education Member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0EAE32CA" w14:textId="77777777" w:rsidR="006D68CD" w:rsidRDefault="00000000">
            <w:pPr>
              <w:widowControl w:val="0"/>
              <w:spacing w:line="240" w:lineRule="auto"/>
              <w:rPr>
                <w:color w:val="292B2C"/>
              </w:rPr>
            </w:pPr>
            <w:r>
              <w:rPr>
                <w:b/>
                <w:color w:val="292B2C"/>
              </w:rPr>
              <w:t xml:space="preserve">Brandon Lindsey, </w:t>
            </w:r>
            <w:r>
              <w:rPr>
                <w:color w:val="292B2C"/>
              </w:rPr>
              <w:t>Public Access Member</w:t>
            </w:r>
          </w:p>
        </w:tc>
      </w:tr>
      <w:tr w:rsidR="006D68CD" w14:paraId="0A31E796"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4C938936" w14:textId="77777777" w:rsidR="006D68CD" w:rsidRDefault="00000000">
            <w:pPr>
              <w:widowControl w:val="0"/>
              <w:spacing w:line="240" w:lineRule="auto"/>
              <w:rPr>
                <w:color w:val="292B2C"/>
              </w:rPr>
            </w:pPr>
            <w:r>
              <w:rPr>
                <w:b/>
                <w:color w:val="292B2C"/>
              </w:rPr>
              <w:t xml:space="preserve">Leah Shin, </w:t>
            </w:r>
            <w:r>
              <w:rPr>
                <w:color w:val="292B2C"/>
              </w:rPr>
              <w:t>Member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50" w:type="dxa"/>
              <w:left w:w="50" w:type="dxa"/>
              <w:bottom w:w="50" w:type="dxa"/>
              <w:right w:w="50" w:type="dxa"/>
            </w:tcMar>
          </w:tcPr>
          <w:p w14:paraId="5303B94D" w14:textId="77777777" w:rsidR="006D68CD" w:rsidRDefault="00000000">
            <w:pPr>
              <w:widowControl w:val="0"/>
              <w:spacing w:line="240" w:lineRule="auto"/>
              <w:rPr>
                <w:color w:val="292B2C"/>
              </w:rPr>
            </w:pPr>
            <w:r>
              <w:rPr>
                <w:color w:val="292B2C"/>
              </w:rPr>
              <w:br/>
            </w:r>
          </w:p>
          <w:p w14:paraId="50E8B343" w14:textId="77777777" w:rsidR="006D68CD" w:rsidRDefault="00000000">
            <w:pPr>
              <w:widowControl w:val="0"/>
              <w:spacing w:line="240" w:lineRule="auto"/>
              <w:rPr>
                <w:color w:val="292B2C"/>
              </w:rPr>
            </w:pPr>
            <w:r>
              <w:rPr>
                <w:color w:val="292B2C"/>
              </w:rPr>
              <w:br/>
            </w:r>
          </w:p>
        </w:tc>
      </w:tr>
    </w:tbl>
    <w:p w14:paraId="378E1B97" w14:textId="77777777" w:rsidR="006D68CD" w:rsidRDefault="00000000">
      <w:pPr>
        <w:rPr>
          <w:color w:val="292B2C"/>
        </w:rPr>
      </w:pPr>
      <w:r>
        <w:br w:type="page"/>
      </w:r>
    </w:p>
    <w:p w14:paraId="61C54F3D" w14:textId="77777777" w:rsidR="006D68CD" w:rsidRDefault="00000000">
      <w:pPr>
        <w:rPr>
          <w:color w:val="292B2C"/>
          <w:sz w:val="28"/>
          <w:szCs w:val="28"/>
        </w:rPr>
      </w:pPr>
      <w:r>
        <w:rPr>
          <w:color w:val="292B2C"/>
          <w:sz w:val="28"/>
          <w:szCs w:val="28"/>
        </w:rPr>
        <w:lastRenderedPageBreak/>
        <w:t>Appendix 1: Digital Equity Committee Year End Review</w:t>
      </w:r>
    </w:p>
    <w:p w14:paraId="697DB9C3" w14:textId="77777777" w:rsidR="006D68CD" w:rsidRDefault="006D68CD">
      <w:pPr>
        <w:rPr>
          <w:color w:val="292B2C"/>
        </w:rPr>
      </w:pPr>
    </w:p>
    <w:p w14:paraId="174C6F8B" w14:textId="77777777" w:rsidR="006D68CD" w:rsidRDefault="006D68CD">
      <w:pPr>
        <w:shd w:val="clear" w:color="auto" w:fill="FFFFFF"/>
        <w:rPr>
          <w:color w:val="292B2C"/>
        </w:rPr>
      </w:pPr>
    </w:p>
    <w:p w14:paraId="6A5FEB14" w14:textId="77777777" w:rsidR="006D68CD" w:rsidRDefault="006D68CD">
      <w:pPr>
        <w:rPr>
          <w:color w:val="292B2C"/>
        </w:rPr>
      </w:pPr>
    </w:p>
    <w:p w14:paraId="7CCA5852" w14:textId="77777777" w:rsidR="006D68CD" w:rsidRDefault="006D68CD">
      <w:pPr>
        <w:rPr>
          <w:color w:val="292B2C"/>
        </w:rPr>
      </w:pPr>
    </w:p>
    <w:p w14:paraId="79AB3DDE" w14:textId="77777777" w:rsidR="006D68CD" w:rsidRDefault="00000000">
      <w:pPr>
        <w:rPr>
          <w:color w:val="292B2C"/>
        </w:rPr>
      </w:pPr>
      <w:r>
        <w:rPr>
          <w:color w:val="292B2C"/>
        </w:rPr>
        <w:t>Coleman Entringer, Digital Equity Committee Co-Chair</w:t>
      </w:r>
    </w:p>
    <w:p w14:paraId="3971660F" w14:textId="77777777" w:rsidR="006D68CD" w:rsidRDefault="00000000">
      <w:pPr>
        <w:rPr>
          <w:color w:val="292B2C"/>
        </w:rPr>
      </w:pPr>
      <w:r>
        <w:rPr>
          <w:color w:val="292B2C"/>
        </w:rPr>
        <w:t>Harte Daniels, Digital Equity Committee Co-Chair</w:t>
      </w:r>
      <w:r>
        <w:rPr>
          <w:color w:val="292B2C"/>
        </w:rPr>
        <w:br/>
      </w:r>
      <w:r>
        <w:br w:type="page"/>
      </w:r>
    </w:p>
    <w:p w14:paraId="4E652364" w14:textId="77777777" w:rsidR="006D68CD" w:rsidRDefault="00000000">
      <w:pPr>
        <w:rPr>
          <w:color w:val="292B2C"/>
          <w:sz w:val="28"/>
          <w:szCs w:val="28"/>
        </w:rPr>
      </w:pPr>
      <w:r>
        <w:rPr>
          <w:color w:val="292B2C"/>
          <w:sz w:val="28"/>
          <w:szCs w:val="28"/>
        </w:rPr>
        <w:lastRenderedPageBreak/>
        <w:t>Appendix 2: Privacy &amp; Cybersecurity Committee Year End Review</w:t>
      </w:r>
    </w:p>
    <w:p w14:paraId="190B9A48" w14:textId="77777777" w:rsidR="006D68CD" w:rsidRDefault="006D68CD">
      <w:pPr>
        <w:rPr>
          <w:color w:val="292B2C"/>
        </w:rPr>
      </w:pPr>
    </w:p>
    <w:p w14:paraId="6D2A85A9" w14:textId="77777777" w:rsidR="006D68CD" w:rsidRDefault="006D68CD">
      <w:pPr>
        <w:rPr>
          <w:color w:val="292B2C"/>
        </w:rPr>
      </w:pPr>
    </w:p>
    <w:p w14:paraId="13568581" w14:textId="77777777" w:rsidR="006D68CD" w:rsidRDefault="006D68CD">
      <w:pPr>
        <w:rPr>
          <w:color w:val="292B2C"/>
        </w:rPr>
      </w:pPr>
    </w:p>
    <w:p w14:paraId="794C68EC" w14:textId="77777777" w:rsidR="006D68CD" w:rsidRDefault="006D68CD">
      <w:pPr>
        <w:rPr>
          <w:color w:val="292B2C"/>
        </w:rPr>
      </w:pPr>
    </w:p>
    <w:p w14:paraId="03621562" w14:textId="77777777" w:rsidR="006D68CD" w:rsidRDefault="00000000">
      <w:pPr>
        <w:rPr>
          <w:color w:val="292B2C"/>
        </w:rPr>
      </w:pPr>
      <w:r>
        <w:rPr>
          <w:color w:val="292B2C"/>
        </w:rPr>
        <w:t>Nicole Espy, Privacy &amp; Cybersecurity Committee Chair</w:t>
      </w:r>
      <w:r>
        <w:rPr>
          <w:color w:val="292B2C"/>
        </w:rPr>
        <w:br/>
        <w:t>Lassana Magassa, Privacy &amp; Cybersecurity Committee Co-Chair</w:t>
      </w:r>
    </w:p>
    <w:p w14:paraId="64DAF697" w14:textId="77777777" w:rsidR="006D68CD" w:rsidRDefault="00000000">
      <w:pPr>
        <w:rPr>
          <w:color w:val="292B2C"/>
        </w:rPr>
      </w:pPr>
      <w:r>
        <w:rPr>
          <w:color w:val="292B2C"/>
        </w:rPr>
        <w:t>Isabel Rodrigues, Privacy &amp; Cybersecurity Committee Co-Chair</w:t>
      </w:r>
    </w:p>
    <w:sectPr w:rsidR="006D68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A435" w14:textId="77777777" w:rsidR="00DC4640" w:rsidRDefault="00DC4640" w:rsidP="00FE44F4">
      <w:pPr>
        <w:spacing w:line="240" w:lineRule="auto"/>
      </w:pPr>
      <w:r>
        <w:separator/>
      </w:r>
    </w:p>
  </w:endnote>
  <w:endnote w:type="continuationSeparator" w:id="0">
    <w:p w14:paraId="3587FCCC" w14:textId="77777777" w:rsidR="00DC4640" w:rsidRDefault="00DC4640" w:rsidP="00FE4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C74B" w14:textId="77777777" w:rsidR="00FE44F4" w:rsidRDefault="00FE4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83C5" w14:textId="77777777" w:rsidR="00FE44F4" w:rsidRDefault="00FE4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CC6C" w14:textId="77777777" w:rsidR="00FE44F4" w:rsidRDefault="00FE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AAE4" w14:textId="77777777" w:rsidR="00DC4640" w:rsidRDefault="00DC4640" w:rsidP="00FE44F4">
      <w:pPr>
        <w:spacing w:line="240" w:lineRule="auto"/>
      </w:pPr>
      <w:r>
        <w:separator/>
      </w:r>
    </w:p>
  </w:footnote>
  <w:footnote w:type="continuationSeparator" w:id="0">
    <w:p w14:paraId="1714C02F" w14:textId="77777777" w:rsidR="00DC4640" w:rsidRDefault="00DC4640" w:rsidP="00FE4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979" w14:textId="77777777" w:rsidR="00FE44F4" w:rsidRDefault="00FE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56780"/>
      <w:docPartObj>
        <w:docPartGallery w:val="Watermarks"/>
        <w:docPartUnique/>
      </w:docPartObj>
    </w:sdtPr>
    <w:sdtContent>
      <w:p w14:paraId="7A7787BB" w14:textId="60AF9A0A" w:rsidR="00FE44F4" w:rsidRDefault="00FE44F4">
        <w:pPr>
          <w:pStyle w:val="Header"/>
        </w:pPr>
        <w:r>
          <w:rPr>
            <w:noProof/>
          </w:rPr>
          <w:pict w14:anchorId="60364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0E2" w14:textId="77777777" w:rsidR="00FE44F4" w:rsidRDefault="00FE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787"/>
    <w:multiLevelType w:val="multilevel"/>
    <w:tmpl w:val="AB9E7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73FA8"/>
    <w:multiLevelType w:val="multilevel"/>
    <w:tmpl w:val="AC16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7537990">
    <w:abstractNumId w:val="1"/>
  </w:num>
  <w:num w:numId="2" w16cid:durableId="191997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CD"/>
    <w:rsid w:val="006D68CD"/>
    <w:rsid w:val="00DC4640"/>
    <w:rsid w:val="00FE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1043"/>
  <w15:docId w15:val="{EEECFA27-0BD0-4CF2-B9B3-D0930F1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E44F4"/>
    <w:pPr>
      <w:tabs>
        <w:tab w:val="center" w:pos="4680"/>
        <w:tab w:val="right" w:pos="9360"/>
      </w:tabs>
      <w:spacing w:line="240" w:lineRule="auto"/>
    </w:pPr>
  </w:style>
  <w:style w:type="character" w:customStyle="1" w:styleId="HeaderChar">
    <w:name w:val="Header Char"/>
    <w:basedOn w:val="DefaultParagraphFont"/>
    <w:link w:val="Header"/>
    <w:uiPriority w:val="99"/>
    <w:rsid w:val="00FE44F4"/>
  </w:style>
  <w:style w:type="paragraph" w:styleId="Footer">
    <w:name w:val="footer"/>
    <w:basedOn w:val="Normal"/>
    <w:link w:val="FooterChar"/>
    <w:uiPriority w:val="99"/>
    <w:unhideWhenUsed/>
    <w:rsid w:val="00FE44F4"/>
    <w:pPr>
      <w:tabs>
        <w:tab w:val="center" w:pos="4680"/>
        <w:tab w:val="right" w:pos="9360"/>
      </w:tabs>
      <w:spacing w:line="240" w:lineRule="auto"/>
    </w:pPr>
  </w:style>
  <w:style w:type="character" w:customStyle="1" w:styleId="FooterChar">
    <w:name w:val="Footer Char"/>
    <w:basedOn w:val="DefaultParagraphFont"/>
    <w:link w:val="Footer"/>
    <w:uiPriority w:val="99"/>
    <w:rsid w:val="00FE4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2022-12-14T01:46:00Z</dcterms:created>
  <dcterms:modified xsi:type="dcterms:W3CDTF">2022-12-14T01:47:00Z</dcterms:modified>
</cp:coreProperties>
</file>